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0673" w14:textId="77777777" w:rsidR="00AB1316" w:rsidRDefault="00AB1316" w:rsidP="00AB1316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723F0E8A" wp14:editId="781DAC6E">
            <wp:extent cx="2186305" cy="1525287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UFC_FV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337" cy="15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4B55" w14:textId="77777777" w:rsidR="00C3129C" w:rsidRPr="001F14F7" w:rsidRDefault="00C3129C" w:rsidP="00C3129C">
      <w:pPr>
        <w:jc w:val="center"/>
        <w:rPr>
          <w:sz w:val="28"/>
        </w:rPr>
      </w:pPr>
      <w:r w:rsidRPr="001F14F7">
        <w:rPr>
          <w:sz w:val="28"/>
        </w:rPr>
        <w:t xml:space="preserve">ASUFC </w:t>
      </w:r>
      <w:r w:rsidR="00614CEE" w:rsidRPr="001F14F7">
        <w:rPr>
          <w:sz w:val="28"/>
        </w:rPr>
        <w:t>RICONOSCE</w:t>
      </w:r>
      <w:r w:rsidRPr="001F14F7">
        <w:rPr>
          <w:sz w:val="28"/>
        </w:rPr>
        <w:t xml:space="preserve"> CON QUASI 18 MILIONI DI EURO </w:t>
      </w:r>
      <w:r w:rsidR="00614CEE" w:rsidRPr="001F14F7">
        <w:rPr>
          <w:sz w:val="28"/>
        </w:rPr>
        <w:t xml:space="preserve">GLI SFORZI AGGIUNTIVI DEI </w:t>
      </w:r>
      <w:r w:rsidRPr="001F14F7">
        <w:rPr>
          <w:sz w:val="28"/>
        </w:rPr>
        <w:t>SUOI DIPENDENTI</w:t>
      </w:r>
    </w:p>
    <w:p w14:paraId="255BE8C0" w14:textId="77777777" w:rsidR="001E6B86" w:rsidRPr="001F14F7" w:rsidRDefault="001E6B86" w:rsidP="001E6B86">
      <w:pPr>
        <w:jc w:val="both"/>
        <w:rPr>
          <w:sz w:val="22"/>
        </w:rPr>
      </w:pPr>
      <w:r w:rsidRPr="001F14F7">
        <w:rPr>
          <w:sz w:val="22"/>
        </w:rPr>
        <w:t xml:space="preserve">In attuazione degli Accordi Integrativi Aziendali con la mensilità di agosto, </w:t>
      </w:r>
      <w:r w:rsidR="00C3129C" w:rsidRPr="001F14F7">
        <w:rPr>
          <w:sz w:val="22"/>
        </w:rPr>
        <w:t xml:space="preserve">la Direzione Generale di ASUFC informa che </w:t>
      </w:r>
      <w:r w:rsidRPr="001F14F7">
        <w:rPr>
          <w:sz w:val="22"/>
        </w:rPr>
        <w:t>3.894 dipendenti di ASUFC hanno percepito trattamenti economici aggiuntivi per un totale pari ad € 6.218.146,78.</w:t>
      </w:r>
    </w:p>
    <w:p w14:paraId="51FCE4AB" w14:textId="77777777" w:rsidR="00F70E06" w:rsidRPr="001F14F7" w:rsidRDefault="001E6B86" w:rsidP="001E6B86">
      <w:pPr>
        <w:jc w:val="both"/>
        <w:rPr>
          <w:sz w:val="22"/>
        </w:rPr>
      </w:pPr>
      <w:r w:rsidRPr="001F14F7">
        <w:rPr>
          <w:sz w:val="22"/>
        </w:rPr>
        <w:t xml:space="preserve">Si tratta </w:t>
      </w:r>
      <w:r w:rsidR="00F70E06" w:rsidRPr="001F14F7">
        <w:rPr>
          <w:sz w:val="22"/>
        </w:rPr>
        <w:t>d</w:t>
      </w:r>
      <w:r w:rsidRPr="001F14F7">
        <w:rPr>
          <w:sz w:val="22"/>
        </w:rPr>
        <w:t xml:space="preserve">i </w:t>
      </w:r>
      <w:r w:rsidR="006D59AB" w:rsidRPr="001F14F7">
        <w:rPr>
          <w:sz w:val="22"/>
        </w:rPr>
        <w:t xml:space="preserve">una parte dei </w:t>
      </w:r>
      <w:r w:rsidR="00477D4A" w:rsidRPr="001F14F7">
        <w:rPr>
          <w:sz w:val="22"/>
        </w:rPr>
        <w:t>riconoscimenti</w:t>
      </w:r>
      <w:r w:rsidRPr="001F14F7">
        <w:rPr>
          <w:sz w:val="22"/>
        </w:rPr>
        <w:t xml:space="preserve"> </w:t>
      </w:r>
      <w:r w:rsidR="006D59AB" w:rsidRPr="001F14F7">
        <w:rPr>
          <w:sz w:val="22"/>
        </w:rPr>
        <w:t xml:space="preserve">che l’Azienda </w:t>
      </w:r>
      <w:r w:rsidR="00477D4A" w:rsidRPr="001F14F7">
        <w:rPr>
          <w:sz w:val="22"/>
        </w:rPr>
        <w:t>assegna</w:t>
      </w:r>
      <w:r w:rsidR="006D59AB" w:rsidRPr="001F14F7">
        <w:rPr>
          <w:sz w:val="22"/>
        </w:rPr>
        <w:t xml:space="preserve"> a coloro che hanno partecipato</w:t>
      </w:r>
      <w:r w:rsidR="00F70E06" w:rsidRPr="001F14F7">
        <w:rPr>
          <w:sz w:val="22"/>
        </w:rPr>
        <w:t xml:space="preserve"> al conseguimento di obiettivi aziendali </w:t>
      </w:r>
      <w:r w:rsidR="006D59AB" w:rsidRPr="001F14F7">
        <w:rPr>
          <w:sz w:val="22"/>
        </w:rPr>
        <w:t>garantendo la</w:t>
      </w:r>
      <w:r w:rsidR="00F70E06" w:rsidRPr="001F14F7">
        <w:rPr>
          <w:sz w:val="22"/>
        </w:rPr>
        <w:t xml:space="preserve"> presenza in servizio oltre il proprio normale orario di lavoro ovvero l</w:t>
      </w:r>
      <w:r w:rsidR="00091C68" w:rsidRPr="001F14F7">
        <w:rPr>
          <w:sz w:val="22"/>
        </w:rPr>
        <w:t>’impegno richiesto in situazioni di particolare carico organizzativo, ambientale e professionale</w:t>
      </w:r>
      <w:r w:rsidR="00F70E06" w:rsidRPr="001F14F7">
        <w:rPr>
          <w:sz w:val="22"/>
        </w:rPr>
        <w:t>.</w:t>
      </w:r>
    </w:p>
    <w:p w14:paraId="6DDD4292" w14:textId="77777777" w:rsidR="00FD27F3" w:rsidRPr="001F14F7" w:rsidRDefault="00B82AB0" w:rsidP="001E6B86">
      <w:pPr>
        <w:jc w:val="both"/>
        <w:rPr>
          <w:sz w:val="22"/>
        </w:rPr>
      </w:pPr>
      <w:r w:rsidRPr="001F14F7">
        <w:rPr>
          <w:sz w:val="22"/>
        </w:rPr>
        <w:t>L’impegno richiesto ai dipendenti</w:t>
      </w:r>
      <w:r w:rsidR="001A19DD" w:rsidRPr="001F14F7">
        <w:rPr>
          <w:sz w:val="22"/>
        </w:rPr>
        <w:t xml:space="preserve"> – che in molti casi è indispensabile per garantire la continuità di servizi </w:t>
      </w:r>
      <w:r w:rsidR="00477D4A" w:rsidRPr="001F14F7">
        <w:rPr>
          <w:sz w:val="22"/>
        </w:rPr>
        <w:t xml:space="preserve">essenziali </w:t>
      </w:r>
      <w:r w:rsidR="001A19DD" w:rsidRPr="001F14F7">
        <w:rPr>
          <w:sz w:val="22"/>
        </w:rPr>
        <w:t xml:space="preserve">laddove </w:t>
      </w:r>
      <w:r w:rsidR="006D59AB" w:rsidRPr="001F14F7">
        <w:rPr>
          <w:sz w:val="22"/>
        </w:rPr>
        <w:t xml:space="preserve">non si riesca a reperire personale in numero sufficiente alle necessità aziendali – </w:t>
      </w:r>
      <w:r w:rsidR="00FD27F3" w:rsidRPr="001F14F7">
        <w:rPr>
          <w:sz w:val="22"/>
        </w:rPr>
        <w:t>viene</w:t>
      </w:r>
      <w:r w:rsidRPr="001F14F7">
        <w:rPr>
          <w:sz w:val="22"/>
        </w:rPr>
        <w:t xml:space="preserve"> remunerato </w:t>
      </w:r>
      <w:r w:rsidR="00FD27F3" w:rsidRPr="001F14F7">
        <w:rPr>
          <w:sz w:val="22"/>
        </w:rPr>
        <w:t>anche con altre modalità incentivanti.</w:t>
      </w:r>
    </w:p>
    <w:p w14:paraId="5C4FBBB2" w14:textId="77777777" w:rsidR="00FD27F3" w:rsidRPr="001F14F7" w:rsidRDefault="00FD27F3" w:rsidP="001E6B86">
      <w:pPr>
        <w:jc w:val="both"/>
        <w:rPr>
          <w:sz w:val="22"/>
        </w:rPr>
      </w:pPr>
      <w:r w:rsidRPr="001F14F7">
        <w:rPr>
          <w:sz w:val="22"/>
        </w:rPr>
        <w:t xml:space="preserve">In particolare la parte preponderante delle Risorse Aggiuntive Regionali (€ </w:t>
      </w:r>
      <w:r w:rsidR="00AC15E9" w:rsidRPr="001F14F7">
        <w:rPr>
          <w:sz w:val="22"/>
        </w:rPr>
        <w:t>6.948.108,45</w:t>
      </w:r>
      <w:r w:rsidRPr="001F14F7">
        <w:rPr>
          <w:sz w:val="22"/>
        </w:rPr>
        <w:t>) è già stata ripartita con cadenza bimestrale fra i dipendenti del comparto (infermieri e operatori sanitari) a cui è stato richiesto un cambio turno o un richiamo in servizio</w:t>
      </w:r>
      <w:r w:rsidR="00FB3A0D" w:rsidRPr="001F14F7">
        <w:rPr>
          <w:sz w:val="22"/>
        </w:rPr>
        <w:t>.</w:t>
      </w:r>
      <w:r w:rsidR="00290558" w:rsidRPr="001F14F7">
        <w:rPr>
          <w:sz w:val="22"/>
        </w:rPr>
        <w:t xml:space="preserve"> Si tratta di situazioni che si verificano in tutti i casi in cui un professionista viene chiamato a sostituire</w:t>
      </w:r>
      <w:r w:rsidR="000D7503" w:rsidRPr="001F14F7">
        <w:rPr>
          <w:sz w:val="22"/>
        </w:rPr>
        <w:t>, nell’immediatezza,</w:t>
      </w:r>
      <w:r w:rsidR="00290558" w:rsidRPr="001F14F7">
        <w:rPr>
          <w:sz w:val="22"/>
        </w:rPr>
        <w:t xml:space="preserve"> un collega assente o impossibilitato</w:t>
      </w:r>
      <w:r w:rsidR="000D7503" w:rsidRPr="001F14F7">
        <w:rPr>
          <w:sz w:val="22"/>
        </w:rPr>
        <w:t>,</w:t>
      </w:r>
      <w:r w:rsidR="00290558" w:rsidRPr="001F14F7">
        <w:rPr>
          <w:sz w:val="22"/>
        </w:rPr>
        <w:t xml:space="preserve"> al di fuori del proprio turno programmato.</w:t>
      </w:r>
    </w:p>
    <w:p w14:paraId="79E081CA" w14:textId="77777777" w:rsidR="00D22570" w:rsidRPr="001F14F7" w:rsidRDefault="00D22570" w:rsidP="001E6B86">
      <w:pPr>
        <w:jc w:val="both"/>
        <w:rPr>
          <w:sz w:val="22"/>
        </w:rPr>
      </w:pPr>
      <w:r w:rsidRPr="001F14F7">
        <w:rPr>
          <w:sz w:val="22"/>
        </w:rPr>
        <w:t>Analogamente</w:t>
      </w:r>
      <w:r w:rsidR="00477D4A" w:rsidRPr="001F14F7">
        <w:rPr>
          <w:sz w:val="22"/>
        </w:rPr>
        <w:t>, durante l’esercizio 2022,</w:t>
      </w:r>
      <w:r w:rsidRPr="001F14F7">
        <w:rPr>
          <w:sz w:val="22"/>
        </w:rPr>
        <w:t xml:space="preserve"> </w:t>
      </w:r>
      <w:r w:rsidR="00FB3A0D" w:rsidRPr="001F14F7">
        <w:rPr>
          <w:sz w:val="22"/>
        </w:rPr>
        <w:t xml:space="preserve">è </w:t>
      </w:r>
      <w:r w:rsidR="00477D4A" w:rsidRPr="001F14F7">
        <w:rPr>
          <w:sz w:val="22"/>
        </w:rPr>
        <w:t>stata ripartita fra i dirigenti sanitari la quota di prestazioni aggiuntive (pari ad €</w:t>
      </w:r>
      <w:r w:rsidR="00290558" w:rsidRPr="001F14F7">
        <w:rPr>
          <w:sz w:val="22"/>
        </w:rPr>
        <w:t xml:space="preserve"> 3.774.611,00</w:t>
      </w:r>
      <w:r w:rsidR="00477D4A" w:rsidRPr="001F14F7">
        <w:rPr>
          <w:sz w:val="22"/>
        </w:rPr>
        <w:t>)</w:t>
      </w:r>
      <w:r w:rsidR="00290558" w:rsidRPr="001F14F7">
        <w:rPr>
          <w:sz w:val="22"/>
        </w:rPr>
        <w:t xml:space="preserve"> correlata al</w:t>
      </w:r>
      <w:r w:rsidR="000D7503" w:rsidRPr="001F14F7">
        <w:rPr>
          <w:sz w:val="22"/>
        </w:rPr>
        <w:t>la prolungata presenza in servizio che viene richiesta per abbattere le liste d’attesa generate nel periodo pandemico</w:t>
      </w:r>
      <w:r w:rsidR="00290558" w:rsidRPr="001F14F7">
        <w:rPr>
          <w:sz w:val="22"/>
        </w:rPr>
        <w:t xml:space="preserve"> e al particolare carico di lavoro </w:t>
      </w:r>
      <w:r w:rsidR="000D7503" w:rsidRPr="001F14F7">
        <w:rPr>
          <w:sz w:val="22"/>
        </w:rPr>
        <w:t>che si trova ad affrontare chi lavoro nelle strutture di emergenza-urgenza, ad esempio nei Pronto Soccorso ospedalieri.</w:t>
      </w:r>
    </w:p>
    <w:p w14:paraId="34E01254" w14:textId="77777777" w:rsidR="00851B95" w:rsidRPr="00C3129C" w:rsidRDefault="00C3129C" w:rsidP="001E6B86">
      <w:pPr>
        <w:jc w:val="both"/>
        <w:rPr>
          <w:i/>
          <w:sz w:val="22"/>
        </w:rPr>
      </w:pPr>
      <w:r w:rsidRPr="001F14F7">
        <w:rPr>
          <w:i/>
          <w:sz w:val="22"/>
        </w:rPr>
        <w:t>“</w:t>
      </w:r>
      <w:r w:rsidR="00317E9B" w:rsidRPr="001F14F7">
        <w:rPr>
          <w:i/>
          <w:sz w:val="22"/>
        </w:rPr>
        <w:t>S</w:t>
      </w:r>
      <w:r w:rsidR="000D7503" w:rsidRPr="001F14F7">
        <w:rPr>
          <w:i/>
          <w:sz w:val="22"/>
        </w:rPr>
        <w:t>icuramente</w:t>
      </w:r>
      <w:r w:rsidR="00477D4A" w:rsidRPr="001F14F7">
        <w:rPr>
          <w:i/>
          <w:sz w:val="22"/>
        </w:rPr>
        <w:t xml:space="preserve"> </w:t>
      </w:r>
      <w:r w:rsidR="00317E9B" w:rsidRPr="001F14F7">
        <w:rPr>
          <w:i/>
          <w:sz w:val="22"/>
        </w:rPr>
        <w:t>è riduttivo pensare che l</w:t>
      </w:r>
      <w:r w:rsidR="001F4110" w:rsidRPr="001F14F7">
        <w:rPr>
          <w:i/>
          <w:sz w:val="22"/>
        </w:rPr>
        <w:t>a disponibilità, e in alcuni casi l’abnegazione</w:t>
      </w:r>
      <w:r w:rsidR="00676F4D">
        <w:rPr>
          <w:i/>
          <w:sz w:val="22"/>
        </w:rPr>
        <w:t>,</w:t>
      </w:r>
      <w:r w:rsidR="001F4110" w:rsidRPr="001F14F7">
        <w:rPr>
          <w:i/>
          <w:sz w:val="22"/>
        </w:rPr>
        <w:t xml:space="preserve"> dei singoli professionisti del Servizio Sanitario Regionale</w:t>
      </w:r>
      <w:r w:rsidRPr="001F14F7">
        <w:rPr>
          <w:sz w:val="22"/>
        </w:rPr>
        <w:t xml:space="preserve"> -</w:t>
      </w:r>
      <w:r w:rsidR="002B278D" w:rsidRPr="001F14F7">
        <w:rPr>
          <w:sz w:val="22"/>
        </w:rPr>
        <w:t xml:space="preserve"> </w:t>
      </w:r>
      <w:r w:rsidRPr="001F14F7">
        <w:rPr>
          <w:sz w:val="22"/>
        </w:rPr>
        <w:t>afferma il Direttore Generale Denis Caporale -</w:t>
      </w:r>
      <w:r w:rsidR="001F4110" w:rsidRPr="001F14F7">
        <w:rPr>
          <w:sz w:val="22"/>
        </w:rPr>
        <w:t xml:space="preserve"> </w:t>
      </w:r>
      <w:r w:rsidR="00317E9B" w:rsidRPr="001F14F7">
        <w:rPr>
          <w:i/>
          <w:sz w:val="22"/>
        </w:rPr>
        <w:t>venga pienamente compensata da</w:t>
      </w:r>
      <w:r w:rsidR="001F4110" w:rsidRPr="001F14F7">
        <w:rPr>
          <w:i/>
          <w:sz w:val="22"/>
        </w:rPr>
        <w:t xml:space="preserve"> premi economici </w:t>
      </w:r>
      <w:r w:rsidR="000D7503" w:rsidRPr="001F14F7">
        <w:rPr>
          <w:i/>
          <w:sz w:val="22"/>
        </w:rPr>
        <w:t xml:space="preserve">che sono </w:t>
      </w:r>
      <w:r w:rsidR="001F4110" w:rsidRPr="001F14F7">
        <w:rPr>
          <w:i/>
          <w:sz w:val="22"/>
        </w:rPr>
        <w:t xml:space="preserve">necessariamente limitati, ma va comunque ricordato che </w:t>
      </w:r>
      <w:r w:rsidR="0038119F" w:rsidRPr="001F14F7">
        <w:rPr>
          <w:i/>
          <w:sz w:val="22"/>
        </w:rPr>
        <w:t xml:space="preserve">il sistema sanitario pubblico </w:t>
      </w:r>
      <w:r w:rsidR="001F4110" w:rsidRPr="001F14F7">
        <w:rPr>
          <w:i/>
          <w:sz w:val="22"/>
        </w:rPr>
        <w:t>in aggiunta al trattamento economico di base</w:t>
      </w:r>
      <w:r w:rsidR="00457C98" w:rsidRPr="001F14F7">
        <w:rPr>
          <w:i/>
          <w:sz w:val="22"/>
        </w:rPr>
        <w:t>, agli straordinari</w:t>
      </w:r>
      <w:r w:rsidR="001F4110" w:rsidRPr="001F14F7">
        <w:rPr>
          <w:i/>
          <w:sz w:val="22"/>
        </w:rPr>
        <w:t xml:space="preserve"> ed agli incentivi </w:t>
      </w:r>
      <w:r w:rsidR="000D7503" w:rsidRPr="001F14F7">
        <w:rPr>
          <w:i/>
          <w:sz w:val="22"/>
        </w:rPr>
        <w:t xml:space="preserve">già </w:t>
      </w:r>
      <w:r w:rsidR="001F4110" w:rsidRPr="001F14F7">
        <w:rPr>
          <w:i/>
          <w:sz w:val="22"/>
        </w:rPr>
        <w:t xml:space="preserve">previsti dai Contratti Collettivi di Lavoro, </w:t>
      </w:r>
      <w:r w:rsidR="000D7503" w:rsidRPr="001F14F7">
        <w:rPr>
          <w:i/>
          <w:sz w:val="22"/>
        </w:rPr>
        <w:t xml:space="preserve">dedica ai </w:t>
      </w:r>
      <w:r w:rsidR="0038119F" w:rsidRPr="001F14F7">
        <w:rPr>
          <w:i/>
          <w:sz w:val="22"/>
        </w:rPr>
        <w:t xml:space="preserve">propri </w:t>
      </w:r>
      <w:r w:rsidR="000D7503" w:rsidRPr="001F14F7">
        <w:rPr>
          <w:i/>
          <w:sz w:val="22"/>
        </w:rPr>
        <w:t>dipendenti risorse economiche</w:t>
      </w:r>
      <w:r w:rsidR="00457C98" w:rsidRPr="001F14F7">
        <w:rPr>
          <w:i/>
          <w:sz w:val="22"/>
        </w:rPr>
        <w:t>,</w:t>
      </w:r>
      <w:r w:rsidR="000D7503" w:rsidRPr="001F14F7">
        <w:rPr>
          <w:i/>
          <w:sz w:val="22"/>
        </w:rPr>
        <w:t xml:space="preserve"> </w:t>
      </w:r>
      <w:r w:rsidR="0038119F" w:rsidRPr="001F14F7">
        <w:rPr>
          <w:i/>
          <w:sz w:val="22"/>
        </w:rPr>
        <w:t xml:space="preserve">specifiche e </w:t>
      </w:r>
      <w:r w:rsidR="000D7503" w:rsidRPr="001F14F7">
        <w:rPr>
          <w:i/>
          <w:sz w:val="22"/>
        </w:rPr>
        <w:t>significative</w:t>
      </w:r>
      <w:r w:rsidR="00457C98" w:rsidRPr="001F14F7">
        <w:rPr>
          <w:i/>
          <w:sz w:val="22"/>
        </w:rPr>
        <w:t>,</w:t>
      </w:r>
      <w:r w:rsidR="0038119F" w:rsidRPr="001F14F7">
        <w:rPr>
          <w:i/>
          <w:sz w:val="22"/>
        </w:rPr>
        <w:t xml:space="preserve"> ulteriori rispetto ai correnti sistemi premianti</w:t>
      </w:r>
      <w:r w:rsidR="00851B95" w:rsidRPr="001F14F7">
        <w:rPr>
          <w:i/>
          <w:sz w:val="22"/>
        </w:rPr>
        <w:t>. Da parte della Direzione Generale il ringraziamento per il continuo e importante sforzo di tutti i professionisti operanti in ASUFC”.</w:t>
      </w:r>
    </w:p>
    <w:p w14:paraId="132BE261" w14:textId="77777777" w:rsidR="00AB1316" w:rsidRDefault="00AB1316" w:rsidP="001E6B86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50"/>
        <w:gridCol w:w="1842"/>
        <w:gridCol w:w="2694"/>
        <w:gridCol w:w="2681"/>
      </w:tblGrid>
      <w:tr w:rsidR="00457C98" w14:paraId="1411F050" w14:textId="77777777" w:rsidTr="001B0BCF">
        <w:tc>
          <w:tcPr>
            <w:tcW w:w="9467" w:type="dxa"/>
            <w:gridSpan w:val="4"/>
          </w:tcPr>
          <w:p w14:paraId="1598701E" w14:textId="77777777" w:rsidR="00457C98" w:rsidRPr="00457C98" w:rsidRDefault="00457C98" w:rsidP="00457C98">
            <w:pPr>
              <w:jc w:val="center"/>
              <w:rPr>
                <w:b/>
              </w:rPr>
            </w:pPr>
            <w:r w:rsidRPr="00457C98">
              <w:rPr>
                <w:b/>
              </w:rPr>
              <w:t>Premi aggiuntivi rispetto a</w:t>
            </w:r>
            <w:r>
              <w:rPr>
                <w:b/>
              </w:rPr>
              <w:t xml:space="preserve"> quelli previsti dai</w:t>
            </w:r>
            <w:r w:rsidRPr="00457C98">
              <w:rPr>
                <w:b/>
              </w:rPr>
              <w:t xml:space="preserve"> CCNNLL</w:t>
            </w:r>
          </w:p>
        </w:tc>
      </w:tr>
      <w:tr w:rsidR="00AB1316" w14:paraId="01DF39B6" w14:textId="77777777" w:rsidTr="00AC1B9D">
        <w:tc>
          <w:tcPr>
            <w:tcW w:w="4092" w:type="dxa"/>
            <w:gridSpan w:val="2"/>
          </w:tcPr>
          <w:p w14:paraId="0F3CF67F" w14:textId="77777777" w:rsidR="00AB1316" w:rsidRDefault="00AB1316" w:rsidP="001E6B86">
            <w:pPr>
              <w:jc w:val="both"/>
            </w:pPr>
          </w:p>
        </w:tc>
        <w:tc>
          <w:tcPr>
            <w:tcW w:w="2694" w:type="dxa"/>
          </w:tcPr>
          <w:p w14:paraId="30C919EA" w14:textId="77777777" w:rsidR="00AB1316" w:rsidRDefault="00AB1316" w:rsidP="00457C98">
            <w:r>
              <w:t>Stanziate per l’anno 2022</w:t>
            </w:r>
          </w:p>
        </w:tc>
        <w:tc>
          <w:tcPr>
            <w:tcW w:w="2681" w:type="dxa"/>
          </w:tcPr>
          <w:p w14:paraId="2DF3ED31" w14:textId="77777777" w:rsidR="00AB1316" w:rsidRDefault="00AB1316" w:rsidP="00457C98">
            <w:r>
              <w:t>Liquidate per l’anno 2022 (in agosto 2023 e nei mesi precedenti)</w:t>
            </w:r>
          </w:p>
        </w:tc>
      </w:tr>
      <w:tr w:rsidR="00E14448" w14:paraId="47866A69" w14:textId="77777777" w:rsidTr="001B0BCF">
        <w:trPr>
          <w:trHeight w:val="808"/>
        </w:trPr>
        <w:tc>
          <w:tcPr>
            <w:tcW w:w="2250" w:type="dxa"/>
            <w:vMerge w:val="restart"/>
          </w:tcPr>
          <w:p w14:paraId="6BB5A47A" w14:textId="77777777" w:rsidR="00E14448" w:rsidRPr="00F53094" w:rsidRDefault="00E14448" w:rsidP="00E14448">
            <w:pPr>
              <w:jc w:val="both"/>
              <w:rPr>
                <w:b/>
              </w:rPr>
            </w:pPr>
            <w:r w:rsidRPr="00F53094">
              <w:rPr>
                <w:b/>
              </w:rPr>
              <w:t>Risorse Aggiuntive Regionali</w:t>
            </w:r>
          </w:p>
        </w:tc>
        <w:tc>
          <w:tcPr>
            <w:tcW w:w="1842" w:type="dxa"/>
          </w:tcPr>
          <w:p w14:paraId="3273C05A" w14:textId="77777777" w:rsidR="00E14448" w:rsidRPr="005D5AE1" w:rsidRDefault="00E14448" w:rsidP="005D5AE1">
            <w:pPr>
              <w:jc w:val="both"/>
            </w:pPr>
            <w:r w:rsidRPr="005D5AE1">
              <w:t>Comparto</w:t>
            </w:r>
          </w:p>
        </w:tc>
        <w:tc>
          <w:tcPr>
            <w:tcW w:w="2694" w:type="dxa"/>
          </w:tcPr>
          <w:p w14:paraId="1DA719FC" w14:textId="77777777" w:rsidR="00E14448" w:rsidRDefault="005D5AE1" w:rsidP="00457C98">
            <w:pPr>
              <w:jc w:val="both"/>
            </w:pPr>
            <w:r>
              <w:t xml:space="preserve">€ </w:t>
            </w:r>
            <w:r w:rsidR="00E14448" w:rsidRPr="005D5AE1">
              <w:t xml:space="preserve">7.390.811,55 </w:t>
            </w:r>
          </w:p>
        </w:tc>
        <w:tc>
          <w:tcPr>
            <w:tcW w:w="2681" w:type="dxa"/>
          </w:tcPr>
          <w:p w14:paraId="2E9C917E" w14:textId="77777777" w:rsidR="00E14448" w:rsidRDefault="00F53094" w:rsidP="005D5AE1">
            <w:pPr>
              <w:jc w:val="both"/>
            </w:pPr>
            <w:r>
              <w:t xml:space="preserve">€ </w:t>
            </w:r>
            <w:r w:rsidR="00E14448">
              <w:t>7.366463,98</w:t>
            </w:r>
          </w:p>
        </w:tc>
      </w:tr>
      <w:tr w:rsidR="00E14448" w14:paraId="0AEA601C" w14:textId="77777777" w:rsidTr="001B0BCF">
        <w:tc>
          <w:tcPr>
            <w:tcW w:w="2250" w:type="dxa"/>
            <w:vMerge/>
          </w:tcPr>
          <w:p w14:paraId="0AAD1D9B" w14:textId="77777777" w:rsidR="00E14448" w:rsidRPr="00F53094" w:rsidRDefault="00E14448" w:rsidP="00E14448">
            <w:pPr>
              <w:rPr>
                <w:b/>
              </w:rPr>
            </w:pPr>
          </w:p>
        </w:tc>
        <w:tc>
          <w:tcPr>
            <w:tcW w:w="1842" w:type="dxa"/>
          </w:tcPr>
          <w:p w14:paraId="2E558685" w14:textId="77777777" w:rsidR="00E14448" w:rsidRPr="005D5AE1" w:rsidRDefault="00E14448" w:rsidP="00E14448">
            <w:pPr>
              <w:jc w:val="both"/>
            </w:pPr>
            <w:r w:rsidRPr="005D5AE1">
              <w:t>Dirigenza</w:t>
            </w:r>
          </w:p>
        </w:tc>
        <w:tc>
          <w:tcPr>
            <w:tcW w:w="2694" w:type="dxa"/>
          </w:tcPr>
          <w:p w14:paraId="22167389" w14:textId="77777777" w:rsidR="00E14448" w:rsidRDefault="005D5AE1" w:rsidP="00E14448">
            <w:pPr>
              <w:jc w:val="both"/>
            </w:pPr>
            <w:r>
              <w:t xml:space="preserve">€ </w:t>
            </w:r>
            <w:r w:rsidR="00E14448" w:rsidRPr="005D5AE1">
              <w:t xml:space="preserve">3.012.005,66 </w:t>
            </w:r>
          </w:p>
        </w:tc>
        <w:tc>
          <w:tcPr>
            <w:tcW w:w="2681" w:type="dxa"/>
          </w:tcPr>
          <w:p w14:paraId="525B12BB" w14:textId="77777777" w:rsidR="00E14448" w:rsidRDefault="00E14448" w:rsidP="00E14448">
            <w:pPr>
              <w:jc w:val="both"/>
            </w:pPr>
            <w:r>
              <w:t>€ 2.466.848,19</w:t>
            </w:r>
          </w:p>
        </w:tc>
      </w:tr>
      <w:tr w:rsidR="005D5AE1" w14:paraId="4D199287" w14:textId="77777777" w:rsidTr="001B0BCF">
        <w:trPr>
          <w:trHeight w:val="1034"/>
        </w:trPr>
        <w:tc>
          <w:tcPr>
            <w:tcW w:w="2250" w:type="dxa"/>
            <w:vMerge w:val="restart"/>
          </w:tcPr>
          <w:p w14:paraId="5C75D348" w14:textId="77777777" w:rsidR="005D5AE1" w:rsidRPr="00F53094" w:rsidRDefault="005D5AE1" w:rsidP="00E14448">
            <w:pPr>
              <w:rPr>
                <w:b/>
              </w:rPr>
            </w:pPr>
            <w:r w:rsidRPr="00F53094">
              <w:rPr>
                <w:b/>
              </w:rPr>
              <w:t xml:space="preserve">Risorse da bilancio </w:t>
            </w:r>
            <w:r w:rsidR="00457C98" w:rsidRPr="00F53094">
              <w:rPr>
                <w:b/>
              </w:rPr>
              <w:t xml:space="preserve">destinate alla remunerazione </w:t>
            </w:r>
            <w:r w:rsidR="00AB1316" w:rsidRPr="00F53094">
              <w:rPr>
                <w:b/>
              </w:rPr>
              <w:t>delle prestazioni</w:t>
            </w:r>
            <w:r w:rsidRPr="00F53094">
              <w:rPr>
                <w:b/>
              </w:rPr>
              <w:t xml:space="preserve"> aggiuntive e riduzione liste d’attesa</w:t>
            </w:r>
          </w:p>
        </w:tc>
        <w:tc>
          <w:tcPr>
            <w:tcW w:w="1842" w:type="dxa"/>
          </w:tcPr>
          <w:p w14:paraId="2F376B71" w14:textId="77777777" w:rsidR="005D5AE1" w:rsidRDefault="005D5AE1" w:rsidP="00E14448">
            <w:pPr>
              <w:jc w:val="both"/>
            </w:pPr>
            <w:r>
              <w:t>Comparto</w:t>
            </w:r>
          </w:p>
        </w:tc>
        <w:tc>
          <w:tcPr>
            <w:tcW w:w="2694" w:type="dxa"/>
          </w:tcPr>
          <w:p w14:paraId="7C21924F" w14:textId="77777777" w:rsidR="005D5AE1" w:rsidRDefault="005D5AE1" w:rsidP="00E14448">
            <w:pPr>
              <w:jc w:val="both"/>
            </w:pPr>
            <w:r>
              <w:t>€ 3.665.195,50</w:t>
            </w:r>
          </w:p>
        </w:tc>
        <w:tc>
          <w:tcPr>
            <w:tcW w:w="2681" w:type="dxa"/>
          </w:tcPr>
          <w:p w14:paraId="2EF6CCBF" w14:textId="77777777" w:rsidR="005D5AE1" w:rsidRDefault="005D5AE1" w:rsidP="00E14448">
            <w:pPr>
              <w:jc w:val="both"/>
            </w:pPr>
            <w:r>
              <w:t>€ 3.290.386,59</w:t>
            </w:r>
          </w:p>
        </w:tc>
      </w:tr>
      <w:tr w:rsidR="005D5AE1" w14:paraId="00AC4B13" w14:textId="77777777" w:rsidTr="001B0BCF">
        <w:tc>
          <w:tcPr>
            <w:tcW w:w="2250" w:type="dxa"/>
            <w:vMerge/>
          </w:tcPr>
          <w:p w14:paraId="69172865" w14:textId="77777777" w:rsidR="005D5AE1" w:rsidRDefault="005D5AE1" w:rsidP="00E14448"/>
        </w:tc>
        <w:tc>
          <w:tcPr>
            <w:tcW w:w="1842" w:type="dxa"/>
          </w:tcPr>
          <w:p w14:paraId="3875A55A" w14:textId="77777777" w:rsidR="005D5AE1" w:rsidRDefault="005D5AE1" w:rsidP="00E14448">
            <w:pPr>
              <w:jc w:val="both"/>
            </w:pPr>
            <w:r>
              <w:t>Dirigenza</w:t>
            </w:r>
          </w:p>
        </w:tc>
        <w:tc>
          <w:tcPr>
            <w:tcW w:w="2694" w:type="dxa"/>
          </w:tcPr>
          <w:p w14:paraId="14552E70" w14:textId="77777777" w:rsidR="005D5AE1" w:rsidRDefault="005D5AE1" w:rsidP="00E14448">
            <w:pPr>
              <w:jc w:val="both"/>
            </w:pPr>
            <w:r>
              <w:t>€ 6.045.612,80</w:t>
            </w:r>
          </w:p>
        </w:tc>
        <w:tc>
          <w:tcPr>
            <w:tcW w:w="2681" w:type="dxa"/>
          </w:tcPr>
          <w:p w14:paraId="22E32FC5" w14:textId="77777777" w:rsidR="005D5AE1" w:rsidRDefault="005D5AE1" w:rsidP="00E14448">
            <w:pPr>
              <w:jc w:val="both"/>
            </w:pPr>
            <w:r>
              <w:t>€ 4.785.639,02</w:t>
            </w:r>
          </w:p>
        </w:tc>
      </w:tr>
      <w:tr w:rsidR="00457C98" w:rsidRPr="005D5AE1" w14:paraId="3A068D0A" w14:textId="77777777" w:rsidTr="001B0BCF">
        <w:tc>
          <w:tcPr>
            <w:tcW w:w="4092" w:type="dxa"/>
            <w:gridSpan w:val="2"/>
          </w:tcPr>
          <w:p w14:paraId="6CC8B559" w14:textId="77777777" w:rsidR="00457C98" w:rsidRPr="005D5AE1" w:rsidRDefault="00457C98" w:rsidP="00457C98">
            <w:pPr>
              <w:jc w:val="right"/>
              <w:rPr>
                <w:b/>
                <w:u w:val="single"/>
              </w:rPr>
            </w:pPr>
            <w:r w:rsidRPr="005D5AE1">
              <w:rPr>
                <w:b/>
                <w:u w:val="single"/>
              </w:rPr>
              <w:t>Totale</w:t>
            </w:r>
          </w:p>
        </w:tc>
        <w:tc>
          <w:tcPr>
            <w:tcW w:w="2694" w:type="dxa"/>
          </w:tcPr>
          <w:p w14:paraId="6AE1FFEE" w14:textId="77777777" w:rsidR="00457C98" w:rsidRPr="005D5AE1" w:rsidRDefault="00457C98" w:rsidP="00E14448">
            <w:pPr>
              <w:jc w:val="both"/>
              <w:rPr>
                <w:b/>
                <w:u w:val="single"/>
              </w:rPr>
            </w:pPr>
            <w:r w:rsidRPr="005D5AE1">
              <w:rPr>
                <w:b/>
                <w:u w:val="single"/>
              </w:rPr>
              <w:t>€ 20.113.625,51</w:t>
            </w:r>
          </w:p>
        </w:tc>
        <w:tc>
          <w:tcPr>
            <w:tcW w:w="2681" w:type="dxa"/>
          </w:tcPr>
          <w:p w14:paraId="7B2448B7" w14:textId="77777777" w:rsidR="00457C98" w:rsidRPr="005D5AE1" w:rsidRDefault="00457C98" w:rsidP="00E1444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€ 17.909.337,78</w:t>
            </w:r>
          </w:p>
        </w:tc>
      </w:tr>
    </w:tbl>
    <w:p w14:paraId="285D9C84" w14:textId="77777777" w:rsidR="001F4110" w:rsidRDefault="001F4110" w:rsidP="001E6B86">
      <w:pPr>
        <w:jc w:val="both"/>
      </w:pPr>
    </w:p>
    <w:p w14:paraId="2A4A2C4D" w14:textId="77777777" w:rsidR="00477D4A" w:rsidRDefault="00477D4A" w:rsidP="001E6B86">
      <w:pPr>
        <w:jc w:val="both"/>
      </w:pPr>
    </w:p>
    <w:p w14:paraId="7A925039" w14:textId="77777777" w:rsidR="00477D4A" w:rsidRDefault="00477D4A" w:rsidP="001E6B86">
      <w:pPr>
        <w:jc w:val="both"/>
      </w:pPr>
    </w:p>
    <w:p w14:paraId="5A1C9B22" w14:textId="77777777" w:rsidR="00AC15E9" w:rsidRDefault="00AC15E9" w:rsidP="001E6B86">
      <w:pPr>
        <w:jc w:val="both"/>
      </w:pPr>
    </w:p>
    <w:p w14:paraId="16784E15" w14:textId="77777777" w:rsidR="00FD27F3" w:rsidRDefault="00FD27F3" w:rsidP="001E6B86">
      <w:pPr>
        <w:jc w:val="both"/>
      </w:pPr>
    </w:p>
    <w:p w14:paraId="2058303B" w14:textId="77777777" w:rsidR="00FD27F3" w:rsidRDefault="00FD27F3" w:rsidP="001E6B86">
      <w:pPr>
        <w:jc w:val="both"/>
      </w:pPr>
    </w:p>
    <w:sectPr w:rsidR="00FD27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86"/>
    <w:rsid w:val="00085244"/>
    <w:rsid w:val="00091C68"/>
    <w:rsid w:val="000D7503"/>
    <w:rsid w:val="001344A6"/>
    <w:rsid w:val="001A19DD"/>
    <w:rsid w:val="001B0BCF"/>
    <w:rsid w:val="001E6B86"/>
    <w:rsid w:val="001F14F7"/>
    <w:rsid w:val="001F4110"/>
    <w:rsid w:val="00285D84"/>
    <w:rsid w:val="00290558"/>
    <w:rsid w:val="002B278D"/>
    <w:rsid w:val="00317E9B"/>
    <w:rsid w:val="00362918"/>
    <w:rsid w:val="0038119F"/>
    <w:rsid w:val="00457C98"/>
    <w:rsid w:val="00477D4A"/>
    <w:rsid w:val="005D5AE1"/>
    <w:rsid w:val="00614CEE"/>
    <w:rsid w:val="00676F4D"/>
    <w:rsid w:val="006D59AB"/>
    <w:rsid w:val="00780F30"/>
    <w:rsid w:val="00851B95"/>
    <w:rsid w:val="00887475"/>
    <w:rsid w:val="00995481"/>
    <w:rsid w:val="00AB1316"/>
    <w:rsid w:val="00AC15E9"/>
    <w:rsid w:val="00AD040D"/>
    <w:rsid w:val="00B82AB0"/>
    <w:rsid w:val="00C3129C"/>
    <w:rsid w:val="00CA42A0"/>
    <w:rsid w:val="00D22570"/>
    <w:rsid w:val="00D94BA3"/>
    <w:rsid w:val="00E14448"/>
    <w:rsid w:val="00F53094"/>
    <w:rsid w:val="00F70E06"/>
    <w:rsid w:val="00FB3A0D"/>
    <w:rsid w:val="00F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3078"/>
  <w15:chartTrackingRefBased/>
  <w15:docId w15:val="{95D4D01D-08C8-4B5D-A217-AF7197D7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42A0"/>
    <w:pPr>
      <w:spacing w:before="120" w:after="280" w:line="257" w:lineRule="auto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E8A82F7DB6B459DCCF6E2D41E50C6" ma:contentTypeVersion="14" ma:contentTypeDescription="Creare un nuovo documento." ma:contentTypeScope="" ma:versionID="79575a07dec883350d6ec207cb4ccde8">
  <xsd:schema xmlns:xsd="http://www.w3.org/2001/XMLSchema" xmlns:xs="http://www.w3.org/2001/XMLSchema" xmlns:p="http://schemas.microsoft.com/office/2006/metadata/properties" xmlns:ns3="2942d4d3-b07a-4077-97ad-7ea48a65c337" xmlns:ns4="303ff7c9-5cb6-427b-951e-28a8228b96d2" targetNamespace="http://schemas.microsoft.com/office/2006/metadata/properties" ma:root="true" ma:fieldsID="35a855b71ba0528ce676584af77141e0" ns3:_="" ns4:_="">
    <xsd:import namespace="2942d4d3-b07a-4077-97ad-7ea48a65c337"/>
    <xsd:import namespace="303ff7c9-5cb6-427b-951e-28a8228b9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2d4d3-b07a-4077-97ad-7ea48a65c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ff7c9-5cb6-427b-951e-28a8228b9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42d4d3-b07a-4077-97ad-7ea48a65c337" xsi:nil="true"/>
  </documentManagement>
</p:properties>
</file>

<file path=customXml/itemProps1.xml><?xml version="1.0" encoding="utf-8"?>
<ds:datastoreItem xmlns:ds="http://schemas.openxmlformats.org/officeDocument/2006/customXml" ds:itemID="{6D13C26B-D332-4FA9-9252-56BA21C5C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2d4d3-b07a-4077-97ad-7ea48a65c337"/>
    <ds:schemaRef ds:uri="303ff7c9-5cb6-427b-951e-28a8228b9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9143E-9994-492D-9404-796714586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DF973-B0F0-437B-95BF-53862E49A7B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303ff7c9-5cb6-427b-951e-28a8228b96d2"/>
    <ds:schemaRef ds:uri="2942d4d3-b07a-4077-97ad-7ea48a65c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Venturini</dc:creator>
  <cp:keywords/>
  <dc:description/>
  <cp:lastModifiedBy>Giulia Foschiani - Hattivalab</cp:lastModifiedBy>
  <cp:revision>2</cp:revision>
  <cp:lastPrinted>2023-08-31T12:10:00Z</cp:lastPrinted>
  <dcterms:created xsi:type="dcterms:W3CDTF">2023-08-31T12:12:00Z</dcterms:created>
  <dcterms:modified xsi:type="dcterms:W3CDTF">2023-08-31T12:12:00Z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0x010100DF3E8A82F7DB6B459DCCF6E2D41E50C6</vt:lpwstr>
  </property>
</Properties>
</file>